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0BCD2" w14:textId="70DF61EB" w:rsidR="00715D2C" w:rsidRDefault="003A7607" w:rsidP="00715D2C">
      <w:pPr>
        <w:pStyle w:val="a3"/>
        <w:spacing w:before="1"/>
        <w:ind w:left="2867" w:right="2870"/>
        <w:rPr>
          <w:color w:val="001F5F"/>
          <w:spacing w:val="-67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44785ED3" w14:textId="77777777" w:rsidR="00EF6FDF" w:rsidRDefault="003A7607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11880"/>
      </w:tblGrid>
      <w:tr w:rsidR="00EF6FDF" w14:paraId="483999EA" w14:textId="77777777" w:rsidTr="00715D2C">
        <w:trPr>
          <w:trHeight w:val="360"/>
        </w:trPr>
        <w:tc>
          <w:tcPr>
            <w:tcW w:w="3240" w:type="dxa"/>
            <w:shd w:val="clear" w:color="auto" w:fill="D9E1F3"/>
          </w:tcPr>
          <w:p w14:paraId="2D2D02B9" w14:textId="77777777" w:rsidR="00EF6FDF" w:rsidRDefault="003A7607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3A7607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715D2C">
        <w:trPr>
          <w:trHeight w:val="7118"/>
        </w:trPr>
        <w:tc>
          <w:tcPr>
            <w:tcW w:w="3240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3A7607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3A7607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3A760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3A760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3A760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3A760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3A760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3A760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3A760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3A760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3A760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3A7607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3A7607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3A760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3A760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3A760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3A760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3A7607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3A760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3A7607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3A760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3A7607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3A760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3A760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3A760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3A7607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3A7607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3A760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3A760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3A760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3A760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3A7607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3A760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3A760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3A760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3A7607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3A760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3A7607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EF6FDF" w14:paraId="29EC187A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152F8D9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EF6FDF" w:rsidRDefault="003A7607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EF6FDF" w14:paraId="777E1E67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173D5D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EF6FDF" w:rsidRDefault="003A76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738BA020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615AA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EF6FDF" w:rsidRDefault="003A76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EF6FDF" w14:paraId="2BFFE25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8AF13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EF6FDF" w:rsidRDefault="003A7607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EF6FDF" w14:paraId="1AA3A0E8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29A6F3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EF6FDF" w:rsidRDefault="003A76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EF6FDF" w14:paraId="5848431E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2609DF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EF6FDF" w:rsidRDefault="003A76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EF6FDF" w14:paraId="313E9CD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743C33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EF6FDF" w:rsidRDefault="003A76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EF6FDF" w14:paraId="236666A7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A13C703" w14:textId="77777777" w:rsidR="00EF6FDF" w:rsidRDefault="003A7607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EF6FDF" w:rsidRDefault="003A7607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EF6FDF" w14:paraId="127EF982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A7CEA03" w14:textId="77777777" w:rsidR="00EF6FDF" w:rsidRDefault="003A7607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EF6FDF" w:rsidRDefault="003A76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EF6FDF" w14:paraId="18908CF9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2C36A7F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EF6FDF" w:rsidRDefault="003A76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EF6FDF" w14:paraId="0346985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7C7CE9A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EF6FDF" w:rsidRDefault="003A76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EF6FDF" w14:paraId="78CADA1A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64E0DA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EF6FDF" w:rsidRDefault="003A760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EF6FDF" w14:paraId="3452E171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191E22F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EF6FDF" w:rsidRDefault="003A760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EF6FDF" w14:paraId="31FCE74C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6A9F843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EF6FDF" w:rsidRDefault="003A76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EF6FDF" w14:paraId="658C992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4E42149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EF6FDF" w:rsidRDefault="003A76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EF6FDF" w14:paraId="259E9944" w14:textId="77777777">
        <w:trPr>
          <w:trHeight w:val="270"/>
        </w:trPr>
        <w:tc>
          <w:tcPr>
            <w:tcW w:w="2550" w:type="dxa"/>
            <w:tcBorders>
              <w:top w:val="nil"/>
            </w:tcBorders>
          </w:tcPr>
          <w:p w14:paraId="5DDBD81D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EF6FDF" w:rsidRDefault="003A7607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EF6FDF" w14:paraId="3C985C53" w14:textId="77777777">
        <w:trPr>
          <w:trHeight w:val="282"/>
        </w:trPr>
        <w:tc>
          <w:tcPr>
            <w:tcW w:w="2550" w:type="dxa"/>
            <w:tcBorders>
              <w:bottom w:val="nil"/>
            </w:tcBorders>
          </w:tcPr>
          <w:p w14:paraId="506A828B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EF6FDF" w:rsidRDefault="003A7607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EF6FDF" w14:paraId="661E97E5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3C1AB2D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EF6FDF" w:rsidRDefault="003A76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EF6FDF" w14:paraId="6F99FF14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EB6110C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EF6FDF" w:rsidRDefault="003A76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EF6FDF" w14:paraId="4C78B588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01DBA791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EF6FDF" w:rsidRDefault="003A76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EF6FDF" w14:paraId="46CD178A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4DD8F6A0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EF6FDF" w:rsidRDefault="003A7607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EF6FDF" w14:paraId="449D8ED0" w14:textId="77777777">
        <w:trPr>
          <w:trHeight w:val="1380"/>
        </w:trPr>
        <w:tc>
          <w:tcPr>
            <w:tcW w:w="2550" w:type="dxa"/>
            <w:tcBorders>
              <w:top w:val="nil"/>
              <w:bottom w:val="nil"/>
            </w:tcBorders>
          </w:tcPr>
          <w:p w14:paraId="450CE1A0" w14:textId="77777777" w:rsidR="00EF6FDF" w:rsidRDefault="003A7607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EF6FDF" w:rsidRDefault="003A760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EF6FDF" w:rsidRDefault="003A760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EF6FDF" w14:paraId="1266FFC9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7CA657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EF6FDF" w:rsidRDefault="003A76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EF6FDF" w14:paraId="732B9FB3" w14:textId="77777777">
        <w:trPr>
          <w:trHeight w:val="276"/>
        </w:trPr>
        <w:tc>
          <w:tcPr>
            <w:tcW w:w="2550" w:type="dxa"/>
            <w:tcBorders>
              <w:top w:val="nil"/>
              <w:bottom w:val="nil"/>
            </w:tcBorders>
          </w:tcPr>
          <w:p w14:paraId="146F7A3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EF6FDF" w:rsidRDefault="003A760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EF6FDF" w14:paraId="0F5456A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6B9A7BDA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EF6FDF" w:rsidRDefault="003A760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EF6FDF" w14:paraId="16378622" w14:textId="77777777">
        <w:trPr>
          <w:trHeight w:val="275"/>
        </w:trPr>
        <w:tc>
          <w:tcPr>
            <w:tcW w:w="2550" w:type="dxa"/>
            <w:tcBorders>
              <w:top w:val="nil"/>
              <w:bottom w:val="nil"/>
            </w:tcBorders>
          </w:tcPr>
          <w:p w14:paraId="318C4524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EF6FDF" w:rsidRDefault="003A760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EF6FDF" w14:paraId="2EF07BEC" w14:textId="77777777">
        <w:trPr>
          <w:trHeight w:val="271"/>
        </w:trPr>
        <w:tc>
          <w:tcPr>
            <w:tcW w:w="2550" w:type="dxa"/>
            <w:tcBorders>
              <w:top w:val="nil"/>
            </w:tcBorders>
          </w:tcPr>
          <w:p w14:paraId="6B2187E9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EF6FDF" w:rsidRDefault="003A7607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3A76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3A7607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3A76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3A76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3A760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3A7607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3A7607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3A760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3A760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3A760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0769121D" w:rsidR="00EF6FDF" w:rsidRDefault="003A7607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</w:t>
            </w:r>
            <w:r w:rsidR="0004150C">
              <w:rPr>
                <w:sz w:val="24"/>
              </w:rPr>
              <w:t xml:space="preserve"> только </w:t>
            </w:r>
            <w:bookmarkStart w:id="0" w:name="_GoBack"/>
            <w:bookmarkEnd w:id="0"/>
            <w:r w:rsidR="0004150C">
              <w:rPr>
                <w:sz w:val="24"/>
              </w:rPr>
              <w:t>в 7 классе</w:t>
            </w:r>
            <w:r>
              <w:rPr>
                <w:sz w:val="24"/>
              </w:rPr>
              <w:t>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3A7607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3A760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3A760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3A760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3A76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3A76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3A76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3A760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3A7607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3A7607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3A760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3A760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3A7607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3A7607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3A760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3A760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3A7607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3A760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3A760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3A760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3A760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3A760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3A7607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3A7607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3A760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3A760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3A7607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3A760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3A760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3A760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3A760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3A7607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3A760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3A760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3A760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3A760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3A760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3A760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3A7607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3A7607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3A760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3A760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3A7607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3A7607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3A760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3A760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3A7607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3A760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3A760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3A7607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3A7607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3A760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3A760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3A760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3A7607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3A760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3A760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3A760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3A760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77777777" w:rsidR="00EF6FDF" w:rsidRDefault="003A760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77777777" w:rsidR="00EF6FDF" w:rsidRDefault="003A760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77777777" w:rsidR="00EF6FDF" w:rsidRDefault="003A760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77777777" w:rsidR="00EF6FDF" w:rsidRDefault="003A760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3A7607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77777777" w:rsidR="00EF6FDF" w:rsidRDefault="003A7607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3A7607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3A7607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3A760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3A760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3A760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3A760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3A760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3A760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3A760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3A7607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3A760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3A7607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3A7607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3A7607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3A7607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3A76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3A7607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3A76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3A7607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3A7607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3A760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3A7607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3A760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3A7607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3A7607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6FDF"/>
    <w:rsid w:val="0004150C"/>
    <w:rsid w:val="003A7607"/>
    <w:rsid w:val="0040546C"/>
    <w:rsid w:val="00715D2C"/>
    <w:rsid w:val="007F62C2"/>
    <w:rsid w:val="00E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2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4563</Words>
  <Characters>26010</Characters>
  <Application>Microsoft Office Word</Application>
  <DocSecurity>0</DocSecurity>
  <Lines>216</Lines>
  <Paragraphs>61</Paragraphs>
  <ScaleCrop>false</ScaleCrop>
  <Company/>
  <LinksUpToDate>false</LinksUpToDate>
  <CharactersWithSpaces>30512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bahmu</cp:lastModifiedBy>
  <cp:revision>6</cp:revision>
  <dcterms:created xsi:type="dcterms:W3CDTF">2023-09-07T16:53:00Z</dcterms:created>
  <dcterms:modified xsi:type="dcterms:W3CDTF">2023-12-03T13:21:00Z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